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Bollebygd kommunfullmäktige</w:t>
      </w:r>
    </w:p>
    <w:p>
      <w:pPr>
        <w:pStyle w:val="Heading1"/>
      </w:pPr>
      <w:r>
        <w:t xml:space="preserve">Tryggare skolmiljö mot mobbning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Bollebygd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11 % av eleverna i Bollebygds skolor uppger att de utsatts för mobbning (Skolinspektionen 2023). Förebyggande arbete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Bollebygd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inför en nolltoleranspolicy mot mobbning med tydliga rutiner.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skolor får tillgång till en gemensam antimobbningsapp.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personalutbildning i lågaffektivt bemötande genomförs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från elevenkäter redovisas för barn- och utbildningsnämnden.</w:t>
      </w:r>
    </w:p>
    <w:p>
      <w:pPr>
        <w:spacing w:before="360"/>
      </w:pPr>
    </w:p>
    <w:p>
      <w:r>
        <w:t xml:space="preserve">Bollebygd,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Bollebygd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2026-07-14T02:27:37.563Z</dcterms:created>
  <dcterms:modified xsi:type="dcterms:W3CDTF">2026-07-14T02:27:37.563Z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